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Calibri" w:cs="Courier New"/>
        </w:rPr>
      </w:pPr>
      <w:r>
        <w:rPr>
          <w:sz w:val="16"/>
          <w:szCs w:val="16"/>
        </w:rPr>
      </w:r>
    </w:p>
    <w:p>
      <w:pPr>
        <w:pStyle w:val="Normal"/>
        <w:tabs>
          <w:tab w:val="clear" w:pos="408"/>
          <w:tab w:val="left" w:pos="139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Предложения по совершенствованию законодательства в сфере концессионных соглашений</w:t>
      </w:r>
    </w:p>
    <w:p>
      <w:pPr>
        <w:pStyle w:val="Normal"/>
        <w:tabs>
          <w:tab w:val="clear" w:pos="408"/>
          <w:tab w:val="left" w:pos="139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7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1"/>
        <w:gridCol w:w="2828"/>
        <w:gridCol w:w="2689"/>
        <w:gridCol w:w="3669"/>
      </w:tblGrid>
      <w:tr>
        <w:trPr/>
        <w:tc>
          <w:tcPr>
            <w:tcW w:w="4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lang w:val="ru-RU" w:eastAsia="ru-RU" w:bidi="ar-SA"/>
              </w:rPr>
              <w:t>№</w:t>
            </w:r>
          </w:p>
        </w:tc>
        <w:tc>
          <w:tcPr>
            <w:tcW w:w="2828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lang w:val="ru-RU" w:eastAsia="ru-RU" w:bidi="ar-SA"/>
              </w:rPr>
              <w:t>Механизм/                  Законодательная норма</w:t>
            </w:r>
          </w:p>
        </w:tc>
        <w:tc>
          <w:tcPr>
            <w:tcW w:w="2689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lang w:val="ru-RU" w:eastAsia="ru-RU" w:bidi="ar-SA"/>
              </w:rPr>
              <w:t>Существующие проблемы в реализации КС</w:t>
            </w:r>
          </w:p>
        </w:tc>
        <w:tc>
          <w:tcPr>
            <w:tcW w:w="3669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lang w:val="ru-RU" w:eastAsia="ru-RU" w:bidi="ar-SA"/>
              </w:rPr>
              <w:t>Предложения</w:t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Федеральный закон от 21.07.2005 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115-ФЗ "О концессионных соглашениях"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</w:tc>
        <w:tc>
          <w:tcPr>
            <w:tcW w:w="2689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Не урегулирован вопрос содержания</w:t>
            </w:r>
            <w:bookmarkStart w:id="0" w:name="_GoBack"/>
            <w:bookmarkEnd w:id="0"/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 объекта концессионного соглашения в переходный период с момента передачи концедентом концессионеру объекта концессионного соглашения до установления регулируемой цены (тарифа) на реализацию концессионером производимых товаров, выполнение работ, оказание услуг.</w:t>
            </w:r>
          </w:p>
        </w:tc>
        <w:tc>
          <w:tcPr>
            <w:tcW w:w="3669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На законодательном уровне закрепить за одной из сторон концессионного соглашения обязанность по содержанию объекта концессионного соглашения в переходный период с момента передачи концедентом концессионеру объекта концессионного соглашения до установления регулируемой цены (тарифа) на реализацию концессионером производимых товаров, выполнение работ, оказание услуг.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4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28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Постановление Правительства Российской Федерации от 19.12.2013 №1188 «Об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 и (или) водоотведения, отдельные объекты таких систем</w:t>
            </w:r>
          </w:p>
        </w:tc>
        <w:tc>
          <w:tcPr>
            <w:tcW w:w="2689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Невозможность предъявления требований по банковской гарантии в случае не исполнения мероприятий</w:t>
            </w:r>
          </w:p>
        </w:tc>
        <w:tc>
          <w:tcPr>
            <w:tcW w:w="3669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Срок действия банковской гарантии должен превышать предусмотренный соглашением срок исполнения обязательств, которые должны быть обеспечены такой банковской гарантией, не менее чем на три месяца</w:t>
            </w:r>
          </w:p>
        </w:tc>
      </w:tr>
      <w:tr>
        <w:trPr/>
        <w:tc>
          <w:tcPr>
            <w:tcW w:w="44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«Об утверждении правил предоставления антимонопольным органом согласия на изменение условий концессионного соглашения»</w:t>
            </w:r>
          </w:p>
        </w:tc>
        <w:tc>
          <w:tcPr>
            <w:tcW w:w="2689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Отсутствие оснований для согласования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изменения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 услови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й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 концессионного соглашения, в случае внесения новых объектов ЖКХ, выявленных существующих объект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ах 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ЖКХ,  не включенных при заключении концессионного соглашения </w:t>
            </w:r>
          </w:p>
        </w:tc>
        <w:tc>
          <w:tcPr>
            <w:tcW w:w="3669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Дополнить основание для согласования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изменения условий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концессионного соглашения, в случае внесения новых объектов ЖКХ,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и (или)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выявленных существующих объектах ЖКХ,  не включенных при заключении концессионного соглашения,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технологически и функционально связанных с объектами теплоснабжения, централизованными системами горячего водоснабжения, холодного водоснабжения и (или) водоотведения, являющихся частью объекта концессионного соглашения</w:t>
            </w:r>
          </w:p>
        </w:tc>
      </w:tr>
      <w:tr>
        <w:trPr/>
        <w:tc>
          <w:tcPr>
            <w:tcW w:w="44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395" w:leader="none"/>
              </w:tabs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28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nos" w:hAnsi="Tinos"/>
                <w:kern w:val="0"/>
                <w:sz w:val="24"/>
                <w:szCs w:val="24"/>
                <w:lang w:val="ru-RU" w:eastAsia="ru-RU" w:bidi="ar-SA"/>
              </w:rPr>
              <w:t>Федеральный закон от 21.07.2005 N 115-ФЗ  "О концессионных соглашениях"</w:t>
            </w:r>
          </w:p>
        </w:tc>
        <w:tc>
          <w:tcPr>
            <w:tcW w:w="2689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В функциях конкурсной комиссии отсутствуют полномочия о признании конкурса несостоявшегося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не поступления ни одной заявки</w:t>
            </w:r>
          </w:p>
        </w:tc>
        <w:tc>
          <w:tcPr>
            <w:tcW w:w="3669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Включить в функции конкурсной комиссии принятие решения об объявлении конкурса несостоявшимся в случае не поступления ни одной заявки</w:t>
            </w:r>
          </w:p>
        </w:tc>
      </w:tr>
    </w:tbl>
    <w:p>
      <w:pPr>
        <w:pStyle w:val="Normal"/>
        <w:tabs>
          <w:tab w:val="clear" w:pos="408"/>
          <w:tab w:val="left" w:pos="1395" w:leader="none"/>
        </w:tabs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45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с отступом Знак"/>
    <w:link w:val="a3"/>
    <w:qFormat/>
    <w:rsid w:val="001c4538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Style15" w:customStyle="1">
    <w:name w:val="Текст выноски Знак"/>
    <w:link w:val="a5"/>
    <w:uiPriority w:val="99"/>
    <w:semiHidden/>
    <w:qFormat/>
    <w:rsid w:val="00b30b9f"/>
    <w:rPr>
      <w:rFonts w:ascii="Tahoma" w:hAnsi="Tahoma" w:eastAsia="Times New Roman" w:cs="Tahoma"/>
      <w:sz w:val="16"/>
      <w:szCs w:val="16"/>
    </w:rPr>
  </w:style>
  <w:style w:type="character" w:styleId="3" w:customStyle="1">
    <w:name w:val="Основной текст 3 Знак"/>
    <w:link w:val="3"/>
    <w:uiPriority w:val="99"/>
    <w:semiHidden/>
    <w:qFormat/>
    <w:rsid w:val="00df2e29"/>
    <w:rPr>
      <w:rFonts w:ascii="Times New Roman" w:hAnsi="Times New Roman" w:eastAsia="Times New Roman"/>
      <w:sz w:val="16"/>
      <w:szCs w:val="16"/>
    </w:rPr>
  </w:style>
  <w:style w:type="character" w:styleId="Style16" w:customStyle="1">
    <w:name w:val="Основной текст Знак"/>
    <w:link w:val="a8"/>
    <w:uiPriority w:val="99"/>
    <w:semiHidden/>
    <w:qFormat/>
    <w:rsid w:val="00b22059"/>
    <w:rPr>
      <w:rFonts w:ascii="Times New Roman" w:hAnsi="Times New Roman" w:eastAsia="Times New Roman"/>
      <w:sz w:val="24"/>
      <w:szCs w:val="24"/>
    </w:rPr>
  </w:style>
  <w:style w:type="character" w:styleId="Style17">
    <w:name w:val="Интернет-ссылка"/>
    <w:basedOn w:val="DefaultParagraphFont"/>
    <w:uiPriority w:val="99"/>
    <w:unhideWhenUsed/>
    <w:rsid w:val="002b51ed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9">
    <w:name w:val="Body Text"/>
    <w:basedOn w:val="Normal"/>
    <w:link w:val="a9"/>
    <w:uiPriority w:val="99"/>
    <w:semiHidden/>
    <w:unhideWhenUsed/>
    <w:rsid w:val="00b22059"/>
    <w:pPr>
      <w:spacing w:before="0" w:after="120"/>
    </w:pPr>
    <w:rPr/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3">
    <w:name w:val="Body Text Indent"/>
    <w:basedOn w:val="Normal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30b9f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semiHidden/>
    <w:unhideWhenUsed/>
    <w:qFormat/>
    <w:rsid w:val="00df2e29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9b36a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932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D5EA-3FB8-44D8-B7ED-AAD97875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LibreOffice/7.1.0.3$Linux_X86_64 LibreOffice_project/f6099ecf3d29644b5008cc8f48f42f4a40986e4c</Application>
  <AppVersion>15.0000</AppVersion>
  <Pages>2</Pages>
  <Words>302</Words>
  <Characters>2359</Characters>
  <CharactersWithSpaces>2661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2021-10-05T05:44:00Z</dcterms:created>
  <dc:creator>Балдина СВ</dc:creator>
  <dc:description/>
  <dc:language>ru-RU</dc:language>
  <cp:lastModifiedBy/>
  <cp:lastPrinted>2021-11-08T15:16:04Z</cp:lastPrinted>
  <dcterms:modified xsi:type="dcterms:W3CDTF">2021-11-18T17:00:32Z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